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AAA7C" w14:textId="02FC5BEE" w:rsidR="008A6554" w:rsidRDefault="008A6554" w:rsidP="008A6554">
      <w:pPr>
        <w:pStyle w:val="Title"/>
        <w:jc w:val="center"/>
        <w:rPr>
          <w:b/>
          <w:bCs/>
        </w:rPr>
      </w:pPr>
    </w:p>
    <w:p w14:paraId="35648A8E" w14:textId="77777777" w:rsidR="009B72E4" w:rsidRDefault="009B72E4" w:rsidP="008A6554">
      <w:pPr>
        <w:pStyle w:val="Title"/>
        <w:jc w:val="center"/>
        <w:rPr>
          <w:b/>
          <w:bCs/>
        </w:rPr>
      </w:pPr>
    </w:p>
    <w:p w14:paraId="1F4A8BAA" w14:textId="77777777" w:rsidR="009B72E4" w:rsidRDefault="009B72E4" w:rsidP="008A6554">
      <w:pPr>
        <w:pStyle w:val="Title"/>
        <w:jc w:val="center"/>
        <w:rPr>
          <w:b/>
          <w:bCs/>
        </w:rPr>
      </w:pPr>
    </w:p>
    <w:p w14:paraId="342320F4" w14:textId="6D24291F" w:rsidR="00A47654" w:rsidRPr="009B72E4" w:rsidRDefault="00C67487" w:rsidP="008A6554">
      <w:pPr>
        <w:pStyle w:val="Title"/>
        <w:jc w:val="center"/>
        <w:rPr>
          <w:b/>
          <w:bCs/>
          <w:color w:val="000000" w:themeColor="text1"/>
        </w:rPr>
      </w:pPr>
      <w:r w:rsidRPr="009B72E4">
        <w:rPr>
          <w:b/>
          <w:bCs/>
          <w:color w:val="000000" w:themeColor="text1"/>
        </w:rPr>
        <w:t>Public Records Policy</w:t>
      </w:r>
    </w:p>
    <w:p w14:paraId="70941F5A" w14:textId="0DD422F7" w:rsidR="004B41E7" w:rsidRPr="00A91741" w:rsidRDefault="00564AAF" w:rsidP="00A91741">
      <w:pPr>
        <w:spacing w:after="0"/>
      </w:pPr>
      <w:r w:rsidRPr="00A91741">
        <w:t>This policy implements the Oklahoma Open Records Act, 51 O.S. §§ 24A.1 et seq., and governs FISTA’s procedures for responding to requests for records held by FISTA. This policy establishes procedures, fees, permissible withholdings, and appeal rights consistent with state law.</w:t>
      </w:r>
    </w:p>
    <w:p w14:paraId="3B10C3D1" w14:textId="77777777" w:rsidR="00A57F2F" w:rsidRPr="00A91741" w:rsidRDefault="00C67487" w:rsidP="004B41E7">
      <w:pPr>
        <w:pStyle w:val="Heading1"/>
      </w:pPr>
      <w:r w:rsidRPr="00A91741">
        <w:t>1. Authority and Purpose</w:t>
      </w:r>
    </w:p>
    <w:p w14:paraId="58367EE9" w14:textId="3EB1838E" w:rsidR="009E4163" w:rsidRPr="00A91741" w:rsidRDefault="009E4163" w:rsidP="00A91741">
      <w:pPr>
        <w:spacing w:after="0"/>
      </w:pPr>
      <w:r w:rsidRPr="00A91741">
        <w:t>The stated public policy of the State of Oklahoma is that “all political power is inherent in the people” and that “the people are vested with the inherent right to know and be fully informed about their government.” 51 O.S. § 24A.2. The Oklahoma Open Records Act does not create new rights of privacy except as provided by statute or recognized privileges, including attorney-client privilege and attorney work product.</w:t>
      </w:r>
    </w:p>
    <w:p w14:paraId="07966F1A" w14:textId="77CA9D9E" w:rsidR="004B41E7" w:rsidRPr="00A91741" w:rsidRDefault="009E4163" w:rsidP="00A91741">
      <w:pPr>
        <w:spacing w:after="0"/>
      </w:pPr>
      <w:r w:rsidRPr="00A91741">
        <w:t>FISTA shall comply with the Act and shall provide access to public records as required by law. FISTA may withhold or redact records, or portions thereof, that are exempt from disclosure, confidential, privileged, or otherwise protected by state or federal law, including 51 O.S. § 24A.5(2).</w:t>
      </w:r>
    </w:p>
    <w:p w14:paraId="107E34D5" w14:textId="77777777" w:rsidR="009E4163" w:rsidRPr="00A91741" w:rsidRDefault="00C67487" w:rsidP="004B41E7">
      <w:pPr>
        <w:pStyle w:val="Heading1"/>
      </w:pPr>
      <w:r w:rsidRPr="00A91741">
        <w:t>2. Definitions</w:t>
      </w:r>
    </w:p>
    <w:p w14:paraId="42B96682" w14:textId="0D525574" w:rsidR="009E4163" w:rsidRPr="00A91741" w:rsidRDefault="009E4163" w:rsidP="00A91741">
      <w:pPr>
        <w:spacing w:after="0"/>
      </w:pPr>
      <w:r w:rsidRPr="00A91741">
        <w:t xml:space="preserve">Public Record: Any document, record, file, electronic data, email, </w:t>
      </w:r>
      <w:proofErr w:type="gramStart"/>
      <w:r w:rsidRPr="00A91741">
        <w:t>map, drawing</w:t>
      </w:r>
      <w:proofErr w:type="gramEnd"/>
      <w:r w:rsidRPr="00A91741">
        <w:t xml:space="preserve">, photograph, or other information, regardless of medium, created, received, </w:t>
      </w:r>
      <w:proofErr w:type="gramStart"/>
      <w:r w:rsidRPr="00A91741">
        <w:t>used, or in the custody</w:t>
      </w:r>
      <w:proofErr w:type="gramEnd"/>
      <w:r w:rsidRPr="00A91741">
        <w:t>, control, or possession of FISTA in connection with public business, subject to statutory exclusions.</w:t>
      </w:r>
    </w:p>
    <w:p w14:paraId="228D1ADB" w14:textId="78544A78" w:rsidR="009E4163" w:rsidRPr="00A91741" w:rsidRDefault="009E4163" w:rsidP="00A91741">
      <w:pPr>
        <w:spacing w:after="0"/>
      </w:pPr>
      <w:r w:rsidRPr="00A91741">
        <w:t>Exempt or Confidential Record: A record or portion thereof not subject to disclosure by virtue of statute, evidentiary privilege, constitutional protection, or other law, including personnel confidentiality and law enforcement exemptions.</w:t>
      </w:r>
    </w:p>
    <w:p w14:paraId="71986BAF" w14:textId="3707249B" w:rsidR="009E4163" w:rsidRPr="00A91741" w:rsidRDefault="009E4163" w:rsidP="00A91741">
      <w:pPr>
        <w:spacing w:after="0"/>
      </w:pPr>
      <w:r w:rsidRPr="00A91741">
        <w:t>Requestor: Any person submitting a request for records pursuant to this policy.</w:t>
      </w:r>
    </w:p>
    <w:p w14:paraId="5896AFF0" w14:textId="03D913CD" w:rsidR="009E4163" w:rsidRPr="00A91741" w:rsidRDefault="009E4163" w:rsidP="00A91741">
      <w:pPr>
        <w:spacing w:after="0"/>
      </w:pPr>
      <w:r w:rsidRPr="00A91741">
        <w:t>Custodian of Records: The person or office designated by FISTA to receive, process, and respond to Open Records requests.</w:t>
      </w:r>
      <w:r w:rsidR="008A6554">
        <w:t xml:space="preserve"> </w:t>
      </w:r>
      <w:proofErr w:type="gramStart"/>
      <w:r w:rsidR="008A6554">
        <w:t>At this time</w:t>
      </w:r>
      <w:proofErr w:type="gramEnd"/>
      <w:r w:rsidR="008A6554">
        <w:t>, that person is the HR and Document Specialist.</w:t>
      </w:r>
    </w:p>
    <w:p w14:paraId="19523238" w14:textId="5A365A08" w:rsidR="009E4163" w:rsidRPr="00A91741" w:rsidRDefault="009E4163" w:rsidP="00A91741">
      <w:pPr>
        <w:spacing w:after="0"/>
      </w:pPr>
      <w:r w:rsidRPr="00A91741">
        <w:t>Commercial Use Request: A request in which the requestor seeks records for sale, resale, solicitation, marketing, or other commercial advantage.</w:t>
      </w:r>
    </w:p>
    <w:p w14:paraId="4F6C5214" w14:textId="17863028" w:rsidR="009E4163" w:rsidRPr="00A91741" w:rsidRDefault="009E4163" w:rsidP="00A91741">
      <w:pPr>
        <w:spacing w:after="0"/>
      </w:pPr>
      <w:r w:rsidRPr="00A91741">
        <w:lastRenderedPageBreak/>
        <w:t xml:space="preserve">Pass-Through Costs: Direct external costs imposed on FISTA by third parties, including accountants, </w:t>
      </w:r>
      <w:r w:rsidR="00CF0034">
        <w:t xml:space="preserve">lawyers, </w:t>
      </w:r>
      <w:r w:rsidRPr="00A91741">
        <w:t xml:space="preserve">consultants, vendors, </w:t>
      </w:r>
      <w:r w:rsidR="00CF0034">
        <w:t xml:space="preserve">or others, </w:t>
      </w:r>
      <w:r w:rsidRPr="00A91741">
        <w:t>incurred to fulfill a request and passed through to the requestor.</w:t>
      </w:r>
    </w:p>
    <w:p w14:paraId="7470601D" w14:textId="588A5F06" w:rsidR="00A47654" w:rsidRPr="00A91741" w:rsidRDefault="00C67487" w:rsidP="004B41E7">
      <w:pPr>
        <w:pStyle w:val="Heading1"/>
      </w:pPr>
      <w:r w:rsidRPr="00A91741">
        <w:t>3. Presentation of Request and Response Time</w:t>
      </w:r>
    </w:p>
    <w:p w14:paraId="1B3A4D35" w14:textId="07B8B5CC" w:rsidR="002F4BE8" w:rsidRDefault="002F4BE8" w:rsidP="00A91741">
      <w:pPr>
        <w:spacing w:after="0"/>
      </w:pPr>
      <w:r w:rsidRPr="00A91741">
        <w:t xml:space="preserve">All Open Records requests must be submitted using </w:t>
      </w:r>
      <w:proofErr w:type="gramStart"/>
      <w:r w:rsidRPr="00A91741">
        <w:t xml:space="preserve">the </w:t>
      </w:r>
      <w:r w:rsidR="00B43E87">
        <w:t>FISTA’s</w:t>
      </w:r>
      <w:proofErr w:type="gramEnd"/>
      <w:r w:rsidR="00CF0034">
        <w:t xml:space="preserve"> portal. The </w:t>
      </w:r>
      <w:r w:rsidRPr="00A91741">
        <w:t>FISTA Open Records Request must sufficiently describe the records sought.</w:t>
      </w:r>
    </w:p>
    <w:p w14:paraId="5D5C0A33" w14:textId="77777777" w:rsidR="00B43E87" w:rsidRDefault="00B43E87" w:rsidP="00A91741">
      <w:pPr>
        <w:spacing w:after="0"/>
      </w:pPr>
    </w:p>
    <w:p w14:paraId="34ACB363" w14:textId="4041D560" w:rsidR="00B43E87" w:rsidRPr="00B43E87" w:rsidRDefault="00B43E87" w:rsidP="00B43E87">
      <w:pPr>
        <w:rPr>
          <w:rFonts w:ascii="Tahoma" w:eastAsia="Times New Roman" w:hAnsi="Tahoma" w:cs="Tahoma"/>
          <w:color w:val="000000"/>
        </w:rPr>
      </w:pPr>
      <w:hyperlink r:id="rId8" w:history="1">
        <w:r>
          <w:rPr>
            <w:rStyle w:val="Hyperlink"/>
            <w:rFonts w:ascii="Tahoma" w:eastAsia="Times New Roman" w:hAnsi="Tahoma" w:cs="Tahoma"/>
          </w:rPr>
          <w:t>https://thefista.com/open-records-request/</w:t>
        </w:r>
      </w:hyperlink>
    </w:p>
    <w:p w14:paraId="26B097F6" w14:textId="77777777" w:rsidR="002F4BE8" w:rsidRPr="00A91741" w:rsidRDefault="002F4BE8" w:rsidP="00A91741">
      <w:pPr>
        <w:spacing w:after="0"/>
      </w:pPr>
    </w:p>
    <w:p w14:paraId="5FC28A90" w14:textId="7C4DB50C" w:rsidR="002F4BE8" w:rsidRPr="00A91741" w:rsidRDefault="002F4BE8" w:rsidP="00A91741">
      <w:pPr>
        <w:spacing w:after="0"/>
      </w:pPr>
      <w:r w:rsidRPr="00A91741">
        <w:t xml:space="preserve">A request shall be deemed received only when a proper and complete request is </w:t>
      </w:r>
      <w:proofErr w:type="gramStart"/>
      <w:r w:rsidRPr="00A91741">
        <w:t>actually received</w:t>
      </w:r>
      <w:proofErr w:type="gramEnd"/>
      <w:r w:rsidRPr="00A91741">
        <w:t xml:space="preserve"> by the Custodian of Records </w:t>
      </w:r>
      <w:r w:rsidR="00B43E87">
        <w:t xml:space="preserve">utilizing the portal. </w:t>
      </w:r>
      <w:r w:rsidRPr="00A91741">
        <w:t>Delivery to an email inbox, mail receptacle, or staff member does not constitute receipt</w:t>
      </w:r>
      <w:r w:rsidR="00B43E87">
        <w:t>.</w:t>
      </w:r>
    </w:p>
    <w:p w14:paraId="454A9A1E" w14:textId="77777777" w:rsidR="002F4BE8" w:rsidRPr="00A91741" w:rsidRDefault="002F4BE8" w:rsidP="00A91741">
      <w:pPr>
        <w:spacing w:after="0"/>
      </w:pPr>
    </w:p>
    <w:p w14:paraId="5A0748A3" w14:textId="058EC763" w:rsidR="002F4BE8" w:rsidRPr="00A91741" w:rsidRDefault="002F4BE8" w:rsidP="00A91741">
      <w:pPr>
        <w:spacing w:after="0"/>
      </w:pPr>
      <w:r w:rsidRPr="00A91741">
        <w:t xml:space="preserve">Within ten (10) business days of receipt of a proper and complete request, FISTA </w:t>
      </w:r>
      <w:r w:rsidR="00B43E87">
        <w:t>will make its best attempt to</w:t>
      </w:r>
      <w:r w:rsidRPr="00A91741">
        <w:t>:</w:t>
      </w:r>
    </w:p>
    <w:p w14:paraId="683EFAD1" w14:textId="7BE84B35" w:rsidR="002F4BE8" w:rsidRPr="00A91741" w:rsidRDefault="002F4BE8" w:rsidP="00A91741">
      <w:pPr>
        <w:spacing w:after="0"/>
      </w:pPr>
      <w:r w:rsidRPr="00A91741">
        <w:t>Grant the request,</w:t>
      </w:r>
      <w:r w:rsidR="00C20C8F" w:rsidRPr="00A91741">
        <w:t xml:space="preserve"> </w:t>
      </w:r>
      <w:r w:rsidRPr="00A91741">
        <w:t>Deny the request in whole or in part with written explanation citing applicable law, or</w:t>
      </w:r>
      <w:r w:rsidR="00C20C8F" w:rsidRPr="00A91741">
        <w:t xml:space="preserve"> </w:t>
      </w:r>
      <w:r w:rsidR="00CF0034" w:rsidRPr="00A91741">
        <w:t>notify</w:t>
      </w:r>
      <w:r w:rsidRPr="00A91741">
        <w:t xml:space="preserve"> the requestor that additional time is required due to the volume or complexity of the request and provide a reasonable estimated completion date.</w:t>
      </w:r>
      <w:r w:rsidR="00C20C8F" w:rsidRPr="00A91741">
        <w:t xml:space="preserve"> </w:t>
      </w:r>
      <w:r w:rsidRPr="00A91741">
        <w:t>If no responsive records exist, the requestor shall be notified in writing.</w:t>
      </w:r>
    </w:p>
    <w:p w14:paraId="19FADA26" w14:textId="36CDFC44" w:rsidR="00C20C8F" w:rsidRPr="00A91741" w:rsidRDefault="002F4BE8" w:rsidP="00A91741">
      <w:pPr>
        <w:spacing w:after="0"/>
      </w:pPr>
      <w:r w:rsidRPr="00A91741">
        <w:t xml:space="preserve">The ten (10) business day timeframe is an internal processing target and does not create any substantive or procedural </w:t>
      </w:r>
      <w:r w:rsidR="00CF0034" w:rsidRPr="00A91741">
        <w:t>rights</w:t>
      </w:r>
      <w:r w:rsidRPr="00A91741">
        <w:t xml:space="preserve"> beyond those provided by the Oklahoma Open Records Act</w:t>
      </w:r>
      <w:r w:rsidR="00CF0034">
        <w:t>.</w:t>
      </w:r>
    </w:p>
    <w:p w14:paraId="1282D4D5" w14:textId="1DF2D680" w:rsidR="00460EC3" w:rsidRPr="00A91741" w:rsidRDefault="00460EC3" w:rsidP="0011232C">
      <w:pPr>
        <w:pStyle w:val="Heading1"/>
      </w:pPr>
      <w:r w:rsidRPr="00A91741">
        <w:t>3(A). Required Elements of a Valid Request</w:t>
      </w:r>
    </w:p>
    <w:p w14:paraId="509114F6" w14:textId="5F7997FD" w:rsidR="00F00D06" w:rsidRPr="00A91741" w:rsidRDefault="00F00D06" w:rsidP="00A91741">
      <w:pPr>
        <w:spacing w:after="0"/>
      </w:pPr>
      <w:r w:rsidRPr="00A91741">
        <w:t xml:space="preserve">To be considered valid and complete, an Open Records request must include </w:t>
      </w:r>
      <w:proofErr w:type="gramStart"/>
      <w:r w:rsidRPr="00A91741">
        <w:t>all of</w:t>
      </w:r>
      <w:proofErr w:type="gramEnd"/>
      <w:r w:rsidRPr="00A91741">
        <w:t xml:space="preserve"> the following required information on the FISTA Open Records Request Form:</w:t>
      </w:r>
    </w:p>
    <w:p w14:paraId="68DDF4AF" w14:textId="77777777" w:rsidR="00F00D06" w:rsidRDefault="00F00D06" w:rsidP="00A91741">
      <w:pPr>
        <w:spacing w:after="0"/>
      </w:pPr>
      <w:r w:rsidRPr="00A91741">
        <w:t>Date the request is submitted</w:t>
      </w:r>
    </w:p>
    <w:p w14:paraId="4AB316A0" w14:textId="6B85D9D0" w:rsidR="00B43E87" w:rsidRDefault="00B43E87" w:rsidP="00A91741">
      <w:pPr>
        <w:spacing w:after="0"/>
      </w:pPr>
      <w:r>
        <w:t>Submitter Name</w:t>
      </w:r>
    </w:p>
    <w:p w14:paraId="624F2F06" w14:textId="2B6E0F2E" w:rsidR="00B43E87" w:rsidRDefault="00B43E87" w:rsidP="00A91741">
      <w:pPr>
        <w:spacing w:after="0"/>
      </w:pPr>
      <w:r>
        <w:t>Submitter Contact Information</w:t>
      </w:r>
    </w:p>
    <w:p w14:paraId="4E4B4201" w14:textId="3C381F31" w:rsidR="00B4231A" w:rsidRPr="00A91741" w:rsidRDefault="00B4231A" w:rsidP="00A91741">
      <w:pPr>
        <w:spacing w:after="0"/>
      </w:pPr>
      <w:r>
        <w:t>Thorough description of the records requested.</w:t>
      </w:r>
    </w:p>
    <w:p w14:paraId="0A31EE01" w14:textId="77777777" w:rsidR="00F00D06" w:rsidRPr="00A91741" w:rsidRDefault="00F00D06" w:rsidP="00A91741">
      <w:pPr>
        <w:spacing w:after="0"/>
      </w:pPr>
      <w:r w:rsidRPr="00A91741">
        <w:t>A clearly defined date range for the records requested</w:t>
      </w:r>
    </w:p>
    <w:p w14:paraId="388449FF" w14:textId="560382F6" w:rsidR="00F00D06" w:rsidRPr="00A91741" w:rsidRDefault="00F00D06" w:rsidP="00A91741">
      <w:pPr>
        <w:spacing w:after="0"/>
      </w:pPr>
      <w:r w:rsidRPr="00A91741">
        <w:t xml:space="preserve">Requests that fail to include any required element </w:t>
      </w:r>
      <w:r w:rsidR="00B43E87">
        <w:t>may</w:t>
      </w:r>
      <w:r w:rsidRPr="00A91741">
        <w:t xml:space="preserve"> be deemed incomplete and invalid and will not be processed. An incomplete request does not trigger FISTA’s statutory response obligations under the Oklahoma Open Records Act.</w:t>
      </w:r>
    </w:p>
    <w:p w14:paraId="461786DD" w14:textId="77777777" w:rsidR="00F00D06" w:rsidRPr="00A91741" w:rsidRDefault="00F00D06" w:rsidP="00A91741">
      <w:pPr>
        <w:spacing w:after="0"/>
      </w:pPr>
      <w:r w:rsidRPr="00A91741">
        <w:t>FISTA has no obligation to interpret, clarify, supplement, or infer missing information from an incomplete or vague request. Requests that are overly broad, lack a defined date range, fail to identify record types, or require FISTA to speculate as to the records sought may be rejected as insufficient.</w:t>
      </w:r>
    </w:p>
    <w:p w14:paraId="0F9DB437" w14:textId="77777777" w:rsidR="00F00D06" w:rsidRPr="00A91741" w:rsidRDefault="00F00D06" w:rsidP="00A91741">
      <w:pPr>
        <w:spacing w:after="0"/>
      </w:pPr>
      <w:r w:rsidRPr="00A91741">
        <w:t>A requestor may resubmit a corrected request, at which time the statutory response period shall begin upon receipt of a complete and valid request.</w:t>
      </w:r>
    </w:p>
    <w:p w14:paraId="27C0C0E4" w14:textId="32BFD8C6" w:rsidR="00460EC3" w:rsidRPr="00A91741" w:rsidRDefault="00F00D06" w:rsidP="00A91741">
      <w:pPr>
        <w:spacing w:after="0"/>
      </w:pPr>
      <w:r w:rsidRPr="00A91741">
        <w:lastRenderedPageBreak/>
        <w:t xml:space="preserve">The request </w:t>
      </w:r>
      <w:r w:rsidR="00B4231A">
        <w:t>submission</w:t>
      </w:r>
      <w:r w:rsidRPr="00A91741">
        <w:t xml:space="preserve"> shall require the requestor to certify whether the request is for commercial use. False or misleading certification may result in revised fees or denial of the request.</w:t>
      </w:r>
    </w:p>
    <w:p w14:paraId="4B45A536" w14:textId="77777777" w:rsidR="005A58A9" w:rsidRPr="00A91741" w:rsidRDefault="00C67487" w:rsidP="0011232C">
      <w:pPr>
        <w:pStyle w:val="Heading1"/>
      </w:pPr>
      <w:r w:rsidRPr="00A91741">
        <w:t xml:space="preserve">4. Review, Withholding, Redaction, and </w:t>
      </w:r>
      <w:proofErr w:type="spellStart"/>
      <w:r w:rsidRPr="00A91741">
        <w:t>Segregability</w:t>
      </w:r>
      <w:proofErr w:type="spellEnd"/>
    </w:p>
    <w:p w14:paraId="4A3DE512" w14:textId="1424794A" w:rsidR="006376D4" w:rsidRPr="00A91741" w:rsidRDefault="005A58A9" w:rsidP="00A91741">
      <w:pPr>
        <w:spacing w:after="0"/>
      </w:pPr>
      <w:r w:rsidRPr="00A91741">
        <w:t>FISTA may withhold records or portions thereof that are exempt from disclosure, including but not limited to records protected by attorney-client privilege, attorney work product, informer identity, records of lawfully closed meetings, certain personnel records (51 O.S. § 24A.7), certain law enforcement records (51 O.S. § 24A.8), draft or deliberative materials (51 O.S. § 24A.9), or other records protected by state or federal law</w:t>
      </w:r>
      <w:r w:rsidR="006376D4" w:rsidRPr="00A91741">
        <w:t>.</w:t>
      </w:r>
    </w:p>
    <w:p w14:paraId="29F6C988" w14:textId="5D9104E9" w:rsidR="005A58A9" w:rsidRPr="00A91741" w:rsidRDefault="005A58A9" w:rsidP="00A91741">
      <w:pPr>
        <w:spacing w:after="0"/>
      </w:pPr>
      <w:r w:rsidRPr="00A91741">
        <w:t>If only portions of a record are exempt, FISTA shall provide reasonably segregable portions after redaction, unless segregation is infeasible.</w:t>
      </w:r>
    </w:p>
    <w:p w14:paraId="16C90E8E" w14:textId="77777777" w:rsidR="006376D4" w:rsidRPr="00A91741" w:rsidRDefault="005A58A9" w:rsidP="00A91741">
      <w:pPr>
        <w:spacing w:after="0"/>
      </w:pPr>
      <w:r w:rsidRPr="00A91741">
        <w:t>FISTA is not required to create new records, conduct research, reorganize data, answer questions, or prepare explanatory narratives in response to a request.</w:t>
      </w:r>
    </w:p>
    <w:p w14:paraId="44C38E7F" w14:textId="77777777" w:rsidR="00C850F5" w:rsidRPr="00A91741" w:rsidRDefault="00C67487" w:rsidP="0011232C">
      <w:pPr>
        <w:pStyle w:val="Heading1"/>
      </w:pPr>
      <w:r w:rsidRPr="00A91741">
        <w:t>5. Fees, Charges, and Cost Recovery</w:t>
      </w:r>
    </w:p>
    <w:p w14:paraId="3FF43251" w14:textId="0DEB3E9D" w:rsidR="00812C5E" w:rsidRPr="00A91741" w:rsidRDefault="00812C5E" w:rsidP="00A91741">
      <w:pPr>
        <w:spacing w:after="0"/>
      </w:pPr>
      <w:r w:rsidRPr="00A91741">
        <w:t>FISTA may charge reasonable, direct costs associated with fulfilling a request as authorized by 51 O.S. § 24A.5. Standard copies: up to $0.25 per page (black and white), Certified copies: up to $1.00 per page, Oversized or special formats: actual reproduction cost. If a request requires more than one (1) hour of staff time for search, retrieval, review, or redaction, time beyond the first hour may be charged at $25 per hour or the actual prevailing staff cost. Legal review fees may be charged only when reasonably necessary to determine the applicability of statutory exemptions or privileges and shall be billed at the attorney’s hourly rate. Pass-through costs, including accountants</w:t>
      </w:r>
      <w:r w:rsidR="008A6554">
        <w:t xml:space="preserve">, </w:t>
      </w:r>
      <w:r w:rsidRPr="00A91741">
        <w:t>outside consultants</w:t>
      </w:r>
      <w:r w:rsidR="008A6554">
        <w:t>, or others</w:t>
      </w:r>
      <w:r w:rsidRPr="00A91741">
        <w:t>, shall be billed at actual cost. For commercial use requests, search and review fees may be charged from the first hour.</w:t>
      </w:r>
      <w:r w:rsidR="008A6554">
        <w:t xml:space="preserve"> </w:t>
      </w:r>
    </w:p>
    <w:p w14:paraId="491F6291" w14:textId="77777777" w:rsidR="00812C5E" w:rsidRPr="00A91741" w:rsidRDefault="00812C5E" w:rsidP="00A91741">
      <w:pPr>
        <w:spacing w:after="0"/>
      </w:pPr>
      <w:r w:rsidRPr="00A91741">
        <w:t>If fulfilling a request would cause excessive disruption of essential operations, including diversion of staff from core duties for an unreasonable period or extraordinary data compilation not maintained in the ordinary course of business, FISTA may charge applicable costs or deny the request.</w:t>
      </w:r>
    </w:p>
    <w:p w14:paraId="49312AD8" w14:textId="77777777" w:rsidR="00812C5E" w:rsidRPr="00A91741" w:rsidRDefault="00812C5E" w:rsidP="00A91741">
      <w:pPr>
        <w:spacing w:after="0"/>
      </w:pPr>
      <w:r w:rsidRPr="00A91741">
        <w:t>For estimated costs exceeding $75, a written estimate shall be provided and prepayment required. If actual costs exceed the estimate by more than twenty-five percent (25%), the requestor must approve the revised estimate before further work proceeds.</w:t>
      </w:r>
    </w:p>
    <w:p w14:paraId="04F462BF" w14:textId="77777777" w:rsidR="00016101" w:rsidRPr="00A91741" w:rsidRDefault="00812C5E" w:rsidP="00A91741">
      <w:pPr>
        <w:spacing w:after="0"/>
      </w:pPr>
      <w:r w:rsidRPr="00A91741">
        <w:t xml:space="preserve">Payment is due prior to release of records and within thirty (30) calendar days of invoicing. Failure to remit payment may suspend production or require submission of a new </w:t>
      </w:r>
      <w:r w:rsidR="00016101" w:rsidRPr="00A91741">
        <w:t>r</w:t>
      </w:r>
      <w:r w:rsidRPr="00A91741">
        <w:t>equest</w:t>
      </w:r>
    </w:p>
    <w:p w14:paraId="65DE0D01" w14:textId="3AFE327A" w:rsidR="00016101" w:rsidRPr="00A91741" w:rsidRDefault="00C67487" w:rsidP="006035CA">
      <w:pPr>
        <w:pStyle w:val="Heading1"/>
      </w:pPr>
      <w:r w:rsidRPr="00A91741">
        <w:t>6. Denials, Appeals, and Remedies</w:t>
      </w:r>
    </w:p>
    <w:p w14:paraId="582048FA" w14:textId="77777777" w:rsidR="00016101" w:rsidRPr="00A91741" w:rsidRDefault="00016101" w:rsidP="00A91741">
      <w:pPr>
        <w:spacing w:after="0"/>
      </w:pPr>
      <w:r w:rsidRPr="00A91741">
        <w:t xml:space="preserve">If a request is denied in whole or in part, FISTA shall provide a written explanation citing the legal basis for the denial or redaction. A requestor may appeal a denial by submitting a written appeal to the President &amp; CEO within ten (10) business days of the denial. The </w:t>
      </w:r>
      <w:r w:rsidRPr="00A91741">
        <w:lastRenderedPageBreak/>
        <w:t>President &amp; CEO shall issue a written decision within ten (10) business days of receipt of the appeal unless additional time is required, in which case the requestor shall be notified. If the appeal is denied, the requestor may seek judicial review pursuant to 51 O.S. § 24A.17. If the requestor prevails, the court may award attorney’s fees; if the action is frivolous, FISTA may recover fees.</w:t>
      </w:r>
    </w:p>
    <w:p w14:paraId="097054B4" w14:textId="075B6437" w:rsidR="00A47654" w:rsidRPr="00A91741" w:rsidRDefault="00C67487" w:rsidP="006035CA">
      <w:pPr>
        <w:pStyle w:val="Heading1"/>
      </w:pPr>
      <w:r w:rsidRPr="00A91741">
        <w:t>7. Recordkeeping Obligations and Limitations</w:t>
      </w:r>
    </w:p>
    <w:p w14:paraId="0ED308F6" w14:textId="77777777" w:rsidR="006D1B17" w:rsidRPr="00A91741" w:rsidRDefault="006D1B17" w:rsidP="00A91741">
      <w:pPr>
        <w:spacing w:after="0"/>
      </w:pPr>
      <w:r w:rsidRPr="00A91741">
        <w:t>FISTA is not required to create or maintain records beyond those otherwise required by law solely to respond to Open Records requests (51 O.S. § 24A.18). The existence of a records request does not alter applicable record retention schedules or create a duty to preserve records beyond those required by law.</w:t>
      </w:r>
    </w:p>
    <w:p w14:paraId="43A2E00D" w14:textId="77777777" w:rsidR="006D1B17" w:rsidRPr="00A91741" w:rsidRDefault="006D1B17" w:rsidP="00A91741">
      <w:pPr>
        <w:spacing w:after="0"/>
      </w:pPr>
      <w:r w:rsidRPr="00A91741">
        <w:t>FISTA shall designate employees authorized to respond to Open Records requests and shall ensure at least one authorized individual is available during normal business hours (51 O.S. § 24A.5(6)).</w:t>
      </w:r>
    </w:p>
    <w:p w14:paraId="5F94C379" w14:textId="510B9012" w:rsidR="00A47654" w:rsidRPr="00A91741" w:rsidRDefault="00C67487" w:rsidP="006035CA">
      <w:pPr>
        <w:pStyle w:val="Heading1"/>
      </w:pPr>
      <w:r w:rsidRPr="00A91741">
        <w:t>8. Implementation and Publication</w:t>
      </w:r>
    </w:p>
    <w:p w14:paraId="4208808B" w14:textId="77777777" w:rsidR="00B4231A" w:rsidRDefault="006D1B17" w:rsidP="00B4231A">
      <w:pPr>
        <w:spacing w:after="0"/>
      </w:pPr>
      <w:r w:rsidRPr="00A91741">
        <w:t>This policy shall be posted on FISTA’s website and made available in public offices. Employees involved in processing Open Records requests shall receive training on the</w:t>
      </w:r>
      <w:r w:rsidR="00C850F5" w:rsidRPr="00A91741">
        <w:t xml:space="preserve"> </w:t>
      </w:r>
      <w:r w:rsidRPr="00A91741">
        <w:t>Oklahoma Open Records Act and this policy. FISTA may periodically update this policy and its fee schedule to reflect changes in law, operational needs, or technology.</w:t>
      </w:r>
    </w:p>
    <w:p w14:paraId="1242CE5A" w14:textId="77777777" w:rsidR="00B4231A" w:rsidRDefault="00B4231A" w:rsidP="00B4231A">
      <w:pPr>
        <w:spacing w:after="0"/>
      </w:pPr>
    </w:p>
    <w:p w14:paraId="0DEFFA8C" w14:textId="33AD7BB9" w:rsidR="00A47654" w:rsidRPr="00B4231A" w:rsidRDefault="00C67487" w:rsidP="00B4231A">
      <w:pPr>
        <w:spacing w:after="0"/>
        <w:rPr>
          <w:rFonts w:asciiTheme="majorHAnsi" w:hAnsiTheme="majorHAnsi" w:cstheme="majorHAnsi"/>
        </w:rPr>
      </w:pPr>
      <w:r w:rsidRPr="00B4231A">
        <w:rPr>
          <w:rFonts w:asciiTheme="majorHAnsi" w:hAnsiTheme="majorHAnsi" w:cstheme="majorHAnsi"/>
        </w:rPr>
        <w:t xml:space="preserve">Appendix </w:t>
      </w:r>
      <w:r w:rsidR="00B4231A" w:rsidRPr="00B4231A">
        <w:rPr>
          <w:rFonts w:asciiTheme="majorHAnsi" w:hAnsiTheme="majorHAnsi" w:cstheme="majorHAnsi"/>
        </w:rPr>
        <w:t>A</w:t>
      </w:r>
      <w:r w:rsidRPr="00B4231A">
        <w:rPr>
          <w:rFonts w:asciiTheme="majorHAnsi" w:hAnsiTheme="majorHAnsi" w:cstheme="majorHAnsi"/>
        </w:rPr>
        <w:t xml:space="preserve"> – Sample Fee &amp; Cost Schedule</w:t>
      </w:r>
    </w:p>
    <w:tbl>
      <w:tblPr>
        <w:tblStyle w:val="TableGrid"/>
        <w:tblW w:w="9468" w:type="dxa"/>
        <w:tblLook w:val="04A0" w:firstRow="1" w:lastRow="0" w:firstColumn="1" w:lastColumn="0" w:noHBand="0" w:noVBand="1"/>
      </w:tblPr>
      <w:tblGrid>
        <w:gridCol w:w="4608"/>
        <w:gridCol w:w="4860"/>
      </w:tblGrid>
      <w:tr w:rsidR="00A47654" w14:paraId="7DC21BFB" w14:textId="77777777" w:rsidTr="00134742">
        <w:trPr>
          <w:trHeight w:val="259"/>
        </w:trPr>
        <w:tc>
          <w:tcPr>
            <w:tcW w:w="4608" w:type="dxa"/>
          </w:tcPr>
          <w:p w14:paraId="4A6B9132" w14:textId="77777777" w:rsidR="00A47654" w:rsidRPr="00546D0B" w:rsidRDefault="00C67487">
            <w:pPr>
              <w:rPr>
                <w:b/>
                <w:bCs/>
              </w:rPr>
            </w:pPr>
            <w:r w:rsidRPr="00546D0B">
              <w:rPr>
                <w:b/>
                <w:bCs/>
              </w:rPr>
              <w:t>Service</w:t>
            </w:r>
          </w:p>
        </w:tc>
        <w:tc>
          <w:tcPr>
            <w:tcW w:w="4860" w:type="dxa"/>
          </w:tcPr>
          <w:p w14:paraId="1BAE0352" w14:textId="77777777" w:rsidR="00A47654" w:rsidRPr="00546D0B" w:rsidRDefault="00C67487">
            <w:pPr>
              <w:rPr>
                <w:b/>
                <w:bCs/>
              </w:rPr>
            </w:pPr>
            <w:r w:rsidRPr="00546D0B">
              <w:rPr>
                <w:b/>
                <w:bCs/>
              </w:rPr>
              <w:t>Fee / Rate</w:t>
            </w:r>
          </w:p>
        </w:tc>
      </w:tr>
      <w:tr w:rsidR="00A47654" w14:paraId="228FE5B0" w14:textId="77777777" w:rsidTr="00134742">
        <w:trPr>
          <w:trHeight w:val="272"/>
        </w:trPr>
        <w:tc>
          <w:tcPr>
            <w:tcW w:w="4608" w:type="dxa"/>
          </w:tcPr>
          <w:p w14:paraId="1AB8590F" w14:textId="77777777" w:rsidR="00A47654" w:rsidRDefault="00C67487">
            <w:r>
              <w:t>Inspection / on-site review</w:t>
            </w:r>
          </w:p>
        </w:tc>
        <w:tc>
          <w:tcPr>
            <w:tcW w:w="4860" w:type="dxa"/>
          </w:tcPr>
          <w:p w14:paraId="2D3D4514" w14:textId="78D28259" w:rsidR="00A47654" w:rsidRDefault="00CA3AB9">
            <w:r>
              <w:t>Dependent on Document Preparation Costs</w:t>
            </w:r>
          </w:p>
        </w:tc>
      </w:tr>
      <w:tr w:rsidR="00A47654" w14:paraId="678C6A2A" w14:textId="77777777" w:rsidTr="00134742">
        <w:trPr>
          <w:trHeight w:val="259"/>
        </w:trPr>
        <w:tc>
          <w:tcPr>
            <w:tcW w:w="4608" w:type="dxa"/>
          </w:tcPr>
          <w:p w14:paraId="056B471D" w14:textId="77777777" w:rsidR="00A47654" w:rsidRDefault="00C67487">
            <w:r>
              <w:t>Black &amp; white copies (8.5 x 14 or smaller)</w:t>
            </w:r>
          </w:p>
        </w:tc>
        <w:tc>
          <w:tcPr>
            <w:tcW w:w="4860" w:type="dxa"/>
          </w:tcPr>
          <w:p w14:paraId="7F93E385" w14:textId="77777777" w:rsidR="00A47654" w:rsidRDefault="00C67487">
            <w:r>
              <w:t>$0.25 per page</w:t>
            </w:r>
          </w:p>
        </w:tc>
      </w:tr>
      <w:tr w:rsidR="00CA3AB9" w14:paraId="48EA7744" w14:textId="77777777" w:rsidTr="00134742">
        <w:trPr>
          <w:trHeight w:val="259"/>
        </w:trPr>
        <w:tc>
          <w:tcPr>
            <w:tcW w:w="4608" w:type="dxa"/>
          </w:tcPr>
          <w:p w14:paraId="32338322" w14:textId="3C6AC9B7" w:rsidR="00CA3AB9" w:rsidRDefault="00CA3AB9">
            <w:r>
              <w:t>Black &amp; white copies (11 x 17 or smaller)</w:t>
            </w:r>
          </w:p>
        </w:tc>
        <w:tc>
          <w:tcPr>
            <w:tcW w:w="4860" w:type="dxa"/>
          </w:tcPr>
          <w:p w14:paraId="7D3A8418" w14:textId="508C747C" w:rsidR="00CA3AB9" w:rsidRDefault="00CA3AB9">
            <w:r>
              <w:t>$0.75 per page</w:t>
            </w:r>
          </w:p>
        </w:tc>
      </w:tr>
      <w:tr w:rsidR="00A47654" w14:paraId="2E9BF5A9" w14:textId="77777777" w:rsidTr="00134742">
        <w:trPr>
          <w:trHeight w:val="259"/>
        </w:trPr>
        <w:tc>
          <w:tcPr>
            <w:tcW w:w="4608" w:type="dxa"/>
          </w:tcPr>
          <w:p w14:paraId="10D1A90C" w14:textId="77777777" w:rsidR="00A47654" w:rsidRDefault="00C67487">
            <w:r>
              <w:t>Certified copies</w:t>
            </w:r>
          </w:p>
        </w:tc>
        <w:tc>
          <w:tcPr>
            <w:tcW w:w="4860" w:type="dxa"/>
          </w:tcPr>
          <w:p w14:paraId="564EF864" w14:textId="77777777" w:rsidR="00A47654" w:rsidRDefault="00C67487">
            <w:r>
              <w:t>$1.00 per page</w:t>
            </w:r>
          </w:p>
        </w:tc>
      </w:tr>
      <w:tr w:rsidR="00A47654" w14:paraId="2C8ACEB8" w14:textId="77777777" w:rsidTr="00134742">
        <w:trPr>
          <w:trHeight w:val="272"/>
        </w:trPr>
        <w:tc>
          <w:tcPr>
            <w:tcW w:w="4608" w:type="dxa"/>
          </w:tcPr>
          <w:p w14:paraId="302C2C5D" w14:textId="77777777" w:rsidR="00A47654" w:rsidRDefault="00C67487">
            <w:r>
              <w:t>Color or oversized copies/maps/plans</w:t>
            </w:r>
          </w:p>
        </w:tc>
        <w:tc>
          <w:tcPr>
            <w:tcW w:w="4860" w:type="dxa"/>
          </w:tcPr>
          <w:p w14:paraId="29AEA8B4" w14:textId="77777777" w:rsidR="00A47654" w:rsidRDefault="00C67487">
            <w:r>
              <w:t>Actual reproduction cost + vendor charge</w:t>
            </w:r>
          </w:p>
        </w:tc>
      </w:tr>
      <w:tr w:rsidR="00A47654" w14:paraId="7F0249E3" w14:textId="77777777" w:rsidTr="00134742">
        <w:trPr>
          <w:trHeight w:val="259"/>
        </w:trPr>
        <w:tc>
          <w:tcPr>
            <w:tcW w:w="4608" w:type="dxa"/>
          </w:tcPr>
          <w:p w14:paraId="64292DB3" w14:textId="77777777" w:rsidR="00A47654" w:rsidRDefault="00C67487">
            <w:r>
              <w:t>Electronic delivery (≤ 25 MB)</w:t>
            </w:r>
          </w:p>
        </w:tc>
        <w:tc>
          <w:tcPr>
            <w:tcW w:w="4860" w:type="dxa"/>
          </w:tcPr>
          <w:p w14:paraId="1ACB2976" w14:textId="16DD9EE5" w:rsidR="00A47654" w:rsidRDefault="00CA3AB9">
            <w:r>
              <w:t>Dependent on Document Preparation Costs</w:t>
            </w:r>
          </w:p>
        </w:tc>
      </w:tr>
      <w:tr w:rsidR="00A47654" w14:paraId="76A00736" w14:textId="77777777" w:rsidTr="00134742">
        <w:trPr>
          <w:trHeight w:val="278"/>
        </w:trPr>
        <w:tc>
          <w:tcPr>
            <w:tcW w:w="4608" w:type="dxa"/>
          </w:tcPr>
          <w:p w14:paraId="15D9883F" w14:textId="429C498B" w:rsidR="00A47654" w:rsidRDefault="00C67487">
            <w:r>
              <w:t>External media (USB)</w:t>
            </w:r>
          </w:p>
        </w:tc>
        <w:tc>
          <w:tcPr>
            <w:tcW w:w="4860" w:type="dxa"/>
          </w:tcPr>
          <w:p w14:paraId="554C9940" w14:textId="76CAFB33" w:rsidR="00A47654" w:rsidRDefault="00C67487">
            <w:r>
              <w:t>Cost of media</w:t>
            </w:r>
            <w:r w:rsidR="00134742">
              <w:t xml:space="preserve"> &amp; Document Preparation Costs</w:t>
            </w:r>
          </w:p>
        </w:tc>
      </w:tr>
      <w:tr w:rsidR="00A47654" w14:paraId="767FE509" w14:textId="77777777" w:rsidTr="00134742">
        <w:trPr>
          <w:trHeight w:val="272"/>
        </w:trPr>
        <w:tc>
          <w:tcPr>
            <w:tcW w:w="4608" w:type="dxa"/>
          </w:tcPr>
          <w:p w14:paraId="74419016" w14:textId="77777777" w:rsidR="00A47654" w:rsidRDefault="00C67487">
            <w:r>
              <w:t>Staff time beyond first hour</w:t>
            </w:r>
          </w:p>
        </w:tc>
        <w:tc>
          <w:tcPr>
            <w:tcW w:w="4860" w:type="dxa"/>
          </w:tcPr>
          <w:p w14:paraId="1241845F" w14:textId="60970896" w:rsidR="00A47654" w:rsidRDefault="00C67487">
            <w:r>
              <w:t>$</w:t>
            </w:r>
            <w:r w:rsidR="00CA3AB9">
              <w:t>3</w:t>
            </w:r>
            <w:r>
              <w:t>5.00 per hour</w:t>
            </w:r>
            <w:r w:rsidR="0030573E">
              <w:t xml:space="preserve"> or prevailing wage</w:t>
            </w:r>
          </w:p>
        </w:tc>
      </w:tr>
      <w:tr w:rsidR="00A47654" w14:paraId="047DBA62" w14:textId="77777777" w:rsidTr="00134742">
        <w:trPr>
          <w:trHeight w:val="259"/>
        </w:trPr>
        <w:tc>
          <w:tcPr>
            <w:tcW w:w="4608" w:type="dxa"/>
          </w:tcPr>
          <w:p w14:paraId="238270C6" w14:textId="77777777" w:rsidR="00A47654" w:rsidRDefault="00C67487">
            <w:r>
              <w:t>Attorney/legal review</w:t>
            </w:r>
          </w:p>
        </w:tc>
        <w:tc>
          <w:tcPr>
            <w:tcW w:w="4860" w:type="dxa"/>
          </w:tcPr>
          <w:p w14:paraId="5E2D21FC" w14:textId="6B3468D2" w:rsidR="00A47654" w:rsidRDefault="00546D0B">
            <w:r>
              <w:t>Actual cost</w:t>
            </w:r>
          </w:p>
        </w:tc>
      </w:tr>
      <w:tr w:rsidR="00A47654" w14:paraId="71215E1D" w14:textId="77777777" w:rsidTr="00134742">
        <w:trPr>
          <w:trHeight w:val="259"/>
        </w:trPr>
        <w:tc>
          <w:tcPr>
            <w:tcW w:w="4608" w:type="dxa"/>
          </w:tcPr>
          <w:p w14:paraId="6664026A" w14:textId="77777777" w:rsidR="00A47654" w:rsidRDefault="00C67487">
            <w:r>
              <w:t>Special service charges</w:t>
            </w:r>
          </w:p>
        </w:tc>
        <w:tc>
          <w:tcPr>
            <w:tcW w:w="4860" w:type="dxa"/>
          </w:tcPr>
          <w:p w14:paraId="25BD7AEB" w14:textId="77777777" w:rsidR="00A47654" w:rsidRDefault="00C67487">
            <w:r>
              <w:t>Actual cost or surcharge</w:t>
            </w:r>
          </w:p>
        </w:tc>
      </w:tr>
      <w:tr w:rsidR="00A47654" w14:paraId="0E98CD9D" w14:textId="77777777" w:rsidTr="00134742">
        <w:trPr>
          <w:trHeight w:val="251"/>
        </w:trPr>
        <w:tc>
          <w:tcPr>
            <w:tcW w:w="4608" w:type="dxa"/>
          </w:tcPr>
          <w:p w14:paraId="28246916" w14:textId="092DABA6" w:rsidR="00A47654" w:rsidRDefault="00C67487">
            <w:r>
              <w:t>Pass-through external accountant/consultant</w:t>
            </w:r>
            <w:r w:rsidR="00B4231A">
              <w:t>/others</w:t>
            </w:r>
          </w:p>
        </w:tc>
        <w:tc>
          <w:tcPr>
            <w:tcW w:w="4860" w:type="dxa"/>
          </w:tcPr>
          <w:p w14:paraId="17E02FDC" w14:textId="77777777" w:rsidR="00A47654" w:rsidRDefault="00C67487">
            <w:r>
              <w:t>Actual cost</w:t>
            </w:r>
          </w:p>
        </w:tc>
      </w:tr>
      <w:tr w:rsidR="00A47654" w14:paraId="477E3CC1" w14:textId="77777777" w:rsidTr="00134742">
        <w:trPr>
          <w:trHeight w:val="259"/>
        </w:trPr>
        <w:tc>
          <w:tcPr>
            <w:tcW w:w="4608" w:type="dxa"/>
          </w:tcPr>
          <w:p w14:paraId="1714A67A" w14:textId="77777777" w:rsidR="00A47654" w:rsidRDefault="00C67487">
            <w:r>
              <w:t>Mailing/courier</w:t>
            </w:r>
          </w:p>
        </w:tc>
        <w:tc>
          <w:tcPr>
            <w:tcW w:w="4860" w:type="dxa"/>
          </w:tcPr>
          <w:p w14:paraId="0E4350C5" w14:textId="77777777" w:rsidR="00A47654" w:rsidRDefault="00C67487">
            <w:r>
              <w:t>Actual postage/courier cost</w:t>
            </w:r>
          </w:p>
        </w:tc>
      </w:tr>
      <w:tr w:rsidR="00A47654" w14:paraId="7FE2DF8F" w14:textId="77777777" w:rsidTr="00134742">
        <w:trPr>
          <w:trHeight w:val="259"/>
        </w:trPr>
        <w:tc>
          <w:tcPr>
            <w:tcW w:w="4608" w:type="dxa"/>
          </w:tcPr>
          <w:p w14:paraId="50ED91E0" w14:textId="77777777" w:rsidR="00A47654" w:rsidRDefault="00C67487">
            <w:r>
              <w:t>Certification of records</w:t>
            </w:r>
          </w:p>
        </w:tc>
        <w:tc>
          <w:tcPr>
            <w:tcW w:w="4860" w:type="dxa"/>
          </w:tcPr>
          <w:p w14:paraId="45022F71" w14:textId="5D1F5004" w:rsidR="00A47654" w:rsidRDefault="00C67487">
            <w:r>
              <w:t>$</w:t>
            </w:r>
            <w:r w:rsidR="00CA3AB9">
              <w:t>10</w:t>
            </w:r>
            <w:r>
              <w:t>.00 per document</w:t>
            </w:r>
          </w:p>
        </w:tc>
      </w:tr>
    </w:tbl>
    <w:p w14:paraId="3DA7652A" w14:textId="77777777" w:rsidR="00384D27" w:rsidRDefault="00384D27"/>
    <w:sectPr w:rsidR="00384D27" w:rsidSect="009B72E4">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9C691" w14:textId="77777777" w:rsidR="00C26B78" w:rsidRDefault="00C26B78" w:rsidP="008A6554">
      <w:pPr>
        <w:spacing w:after="0" w:line="240" w:lineRule="auto"/>
      </w:pPr>
      <w:r>
        <w:separator/>
      </w:r>
    </w:p>
  </w:endnote>
  <w:endnote w:type="continuationSeparator" w:id="0">
    <w:p w14:paraId="0D9B5849" w14:textId="77777777" w:rsidR="00C26B78" w:rsidRDefault="00C26B78" w:rsidP="008A6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EA69F" w14:textId="77777777" w:rsidR="00C26B78" w:rsidRDefault="00C26B78" w:rsidP="008A6554">
      <w:pPr>
        <w:spacing w:after="0" w:line="240" w:lineRule="auto"/>
      </w:pPr>
      <w:r>
        <w:separator/>
      </w:r>
    </w:p>
  </w:footnote>
  <w:footnote w:type="continuationSeparator" w:id="0">
    <w:p w14:paraId="2218329F" w14:textId="77777777" w:rsidR="00C26B78" w:rsidRDefault="00C26B78" w:rsidP="008A6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06FB" w14:textId="6497CC95" w:rsidR="008A6554" w:rsidRDefault="009B72E4">
    <w:pPr>
      <w:pStyle w:val="Header"/>
    </w:pPr>
    <w:r w:rsidRPr="00A40F15">
      <w:rPr>
        <w:rFonts w:ascii="Times New Roman" w:hAnsi="Times New Roman" w:cs="Times New Roman"/>
        <w:b/>
        <w:bCs/>
        <w:noProof/>
        <w:sz w:val="28"/>
        <w:szCs w:val="28"/>
      </w:rPr>
      <w:drawing>
        <wp:anchor distT="0" distB="0" distL="114300" distR="114300" simplePos="0" relativeHeight="251659264" behindDoc="0" locked="0" layoutInCell="1" allowOverlap="1" wp14:anchorId="2E9063AB" wp14:editId="2080A9BC">
          <wp:simplePos x="0" y="0"/>
          <wp:positionH relativeFrom="margin">
            <wp:align>center</wp:align>
          </wp:positionH>
          <wp:positionV relativeFrom="page">
            <wp:posOffset>457200</wp:posOffset>
          </wp:positionV>
          <wp:extent cx="3877056" cy="141732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77056" cy="1417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B141DA2"/>
    <w:multiLevelType w:val="multilevel"/>
    <w:tmpl w:val="2A7E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9636429">
    <w:abstractNumId w:val="8"/>
  </w:num>
  <w:num w:numId="2" w16cid:durableId="1299412861">
    <w:abstractNumId w:val="6"/>
  </w:num>
  <w:num w:numId="3" w16cid:durableId="1731339624">
    <w:abstractNumId w:val="5"/>
  </w:num>
  <w:num w:numId="4" w16cid:durableId="1668634445">
    <w:abstractNumId w:val="4"/>
  </w:num>
  <w:num w:numId="5" w16cid:durableId="1566918766">
    <w:abstractNumId w:val="7"/>
  </w:num>
  <w:num w:numId="6" w16cid:durableId="2010981745">
    <w:abstractNumId w:val="3"/>
  </w:num>
  <w:num w:numId="7" w16cid:durableId="1308784115">
    <w:abstractNumId w:val="2"/>
  </w:num>
  <w:num w:numId="8" w16cid:durableId="1581132310">
    <w:abstractNumId w:val="1"/>
  </w:num>
  <w:num w:numId="9" w16cid:durableId="1246837952">
    <w:abstractNumId w:val="0"/>
  </w:num>
  <w:num w:numId="10" w16cid:durableId="97871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101"/>
    <w:rsid w:val="00034616"/>
    <w:rsid w:val="0006063C"/>
    <w:rsid w:val="00067088"/>
    <w:rsid w:val="000F57F7"/>
    <w:rsid w:val="001104ED"/>
    <w:rsid w:val="0011232C"/>
    <w:rsid w:val="00134742"/>
    <w:rsid w:val="0015074B"/>
    <w:rsid w:val="0029639D"/>
    <w:rsid w:val="002F4BE8"/>
    <w:rsid w:val="0030573E"/>
    <w:rsid w:val="00326F90"/>
    <w:rsid w:val="00384D27"/>
    <w:rsid w:val="003D605E"/>
    <w:rsid w:val="0042232D"/>
    <w:rsid w:val="00431C1B"/>
    <w:rsid w:val="004561B9"/>
    <w:rsid w:val="00460EC3"/>
    <w:rsid w:val="0049008B"/>
    <w:rsid w:val="004B41E7"/>
    <w:rsid w:val="004E2F53"/>
    <w:rsid w:val="00546D0B"/>
    <w:rsid w:val="00564AAF"/>
    <w:rsid w:val="005A58A9"/>
    <w:rsid w:val="005B7B0E"/>
    <w:rsid w:val="006035CA"/>
    <w:rsid w:val="00632054"/>
    <w:rsid w:val="006376D4"/>
    <w:rsid w:val="006D1B17"/>
    <w:rsid w:val="00812C5E"/>
    <w:rsid w:val="00857F91"/>
    <w:rsid w:val="008A6554"/>
    <w:rsid w:val="00914258"/>
    <w:rsid w:val="00972F13"/>
    <w:rsid w:val="0098633E"/>
    <w:rsid w:val="009B72E4"/>
    <w:rsid w:val="009E4163"/>
    <w:rsid w:val="00A47654"/>
    <w:rsid w:val="00A57F2F"/>
    <w:rsid w:val="00A91741"/>
    <w:rsid w:val="00AA1D8D"/>
    <w:rsid w:val="00B4231A"/>
    <w:rsid w:val="00B43E87"/>
    <w:rsid w:val="00B47730"/>
    <w:rsid w:val="00BF5BD9"/>
    <w:rsid w:val="00C20C8F"/>
    <w:rsid w:val="00C26B78"/>
    <w:rsid w:val="00C67487"/>
    <w:rsid w:val="00C850F5"/>
    <w:rsid w:val="00CA3544"/>
    <w:rsid w:val="00CA3AB9"/>
    <w:rsid w:val="00CB0664"/>
    <w:rsid w:val="00CF0034"/>
    <w:rsid w:val="00DC62D2"/>
    <w:rsid w:val="00E060C3"/>
    <w:rsid w:val="00E87DA8"/>
    <w:rsid w:val="00EF056E"/>
    <w:rsid w:val="00F00D06"/>
    <w:rsid w:val="00F80E50"/>
    <w:rsid w:val="00F818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B415B4"/>
  <w14:defaultImageDpi w14:val="300"/>
  <w15:docId w15:val="{CF82BBF7-2A24-4451-81BE-9366B8C3A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B20000"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EE0000"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EE0000"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EE0000"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76000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76000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EE0000"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B20000"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EE0000"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EE0000" w:themeColor="accent1"/>
    </w:rPr>
  </w:style>
  <w:style w:type="paragraph" w:styleId="Title">
    <w:name w:val="Title"/>
    <w:basedOn w:val="Normal"/>
    <w:next w:val="Normal"/>
    <w:link w:val="TitleChar"/>
    <w:uiPriority w:val="10"/>
    <w:qFormat/>
    <w:rsid w:val="00FC693F"/>
    <w:pPr>
      <w:pBdr>
        <w:bottom w:val="single" w:sz="8" w:space="4" w:color="EE0000" w:themeColor="accent1"/>
      </w:pBdr>
      <w:spacing w:after="300" w:line="240" w:lineRule="auto"/>
      <w:contextualSpacing/>
    </w:pPr>
    <w:rPr>
      <w:rFonts w:asciiTheme="majorHAnsi" w:eastAsiaTheme="majorEastAsia" w:hAnsiTheme="majorHAnsi" w:cstheme="majorBidi"/>
      <w:color w:val="B20000"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B20000"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EE0000"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EE0000"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EE0000"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76000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76000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EE0000"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EE0000"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EE0000" w:themeColor="accent1"/>
      </w:pBdr>
      <w:spacing w:before="200" w:after="280"/>
      <w:ind w:left="936" w:right="936"/>
    </w:pPr>
    <w:rPr>
      <w:b/>
      <w:bCs/>
      <w:i/>
      <w:iCs/>
      <w:color w:val="EE0000" w:themeColor="accent1"/>
    </w:rPr>
  </w:style>
  <w:style w:type="character" w:customStyle="1" w:styleId="IntenseQuoteChar">
    <w:name w:val="Intense Quote Char"/>
    <w:basedOn w:val="DefaultParagraphFont"/>
    <w:link w:val="IntenseQuote"/>
    <w:uiPriority w:val="30"/>
    <w:rsid w:val="00FC693F"/>
    <w:rPr>
      <w:b/>
      <w:bCs/>
      <w:i/>
      <w:iCs/>
      <w:color w:val="EE0000"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EE0000"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B20000" w:themeColor="accent1" w:themeShade="BF"/>
    </w:rPr>
    <w:tblPr>
      <w:tblStyleRowBandSize w:val="1"/>
      <w:tblStyleColBandSize w:val="1"/>
      <w:tblBorders>
        <w:top w:val="single" w:sz="8" w:space="0" w:color="EE0000" w:themeColor="accent1"/>
        <w:bottom w:val="single" w:sz="8" w:space="0" w:color="EE0000" w:themeColor="accent1"/>
      </w:tblBorders>
    </w:tblPr>
    <w:tblStylePr w:type="firstRow">
      <w:pPr>
        <w:spacing w:before="0" w:after="0" w:line="240" w:lineRule="auto"/>
      </w:pPr>
      <w:rPr>
        <w:b/>
        <w:bCs/>
      </w:rPr>
      <w:tblPr/>
      <w:tcPr>
        <w:tcBorders>
          <w:top w:val="single" w:sz="8" w:space="0" w:color="EE0000" w:themeColor="accent1"/>
          <w:left w:val="nil"/>
          <w:bottom w:val="single" w:sz="8" w:space="0" w:color="EE0000" w:themeColor="accent1"/>
          <w:right w:val="nil"/>
          <w:insideH w:val="nil"/>
          <w:insideV w:val="nil"/>
        </w:tcBorders>
      </w:tcPr>
    </w:tblStylePr>
    <w:tblStylePr w:type="lastRow">
      <w:pPr>
        <w:spacing w:before="0" w:after="0" w:line="240" w:lineRule="auto"/>
      </w:pPr>
      <w:rPr>
        <w:b/>
        <w:bCs/>
      </w:rPr>
      <w:tblPr/>
      <w:tcPr>
        <w:tcBorders>
          <w:top w:val="single" w:sz="8" w:space="0" w:color="EE0000" w:themeColor="accent1"/>
          <w:left w:val="nil"/>
          <w:bottom w:val="single" w:sz="8" w:space="0" w:color="EE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BBB" w:themeFill="accent1" w:themeFillTint="3F"/>
      </w:tcPr>
    </w:tblStylePr>
    <w:tblStylePr w:type="band1Horz">
      <w:tblPr/>
      <w:tcPr>
        <w:tcBorders>
          <w:left w:val="nil"/>
          <w:right w:val="nil"/>
          <w:insideH w:val="nil"/>
          <w:insideV w:val="nil"/>
        </w:tcBorders>
        <w:shd w:val="clear" w:color="auto" w:fill="FFBBBB"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tblBorders>
    </w:tblPr>
    <w:tblStylePr w:type="firstRow">
      <w:pPr>
        <w:spacing w:before="0" w:after="0" w:line="240" w:lineRule="auto"/>
      </w:pPr>
      <w:rPr>
        <w:b/>
        <w:bCs/>
        <w:color w:val="FFFFFF" w:themeColor="background1"/>
      </w:rPr>
      <w:tblPr/>
      <w:tcPr>
        <w:shd w:val="clear" w:color="auto" w:fill="EE0000" w:themeFill="accent1"/>
      </w:tcPr>
    </w:tblStylePr>
    <w:tblStylePr w:type="lastRow">
      <w:pPr>
        <w:spacing w:before="0" w:after="0" w:line="240" w:lineRule="auto"/>
      </w:pPr>
      <w:rPr>
        <w:b/>
        <w:bCs/>
      </w:rPr>
      <w:tblPr/>
      <w:tcPr>
        <w:tcBorders>
          <w:top w:val="double" w:sz="6" w:space="0" w:color="EE0000" w:themeColor="accent1"/>
          <w:left w:val="single" w:sz="8" w:space="0" w:color="EE0000" w:themeColor="accent1"/>
          <w:bottom w:val="single" w:sz="8" w:space="0" w:color="EE0000" w:themeColor="accent1"/>
          <w:right w:val="single" w:sz="8" w:space="0" w:color="EE0000" w:themeColor="accent1"/>
        </w:tcBorders>
      </w:tcPr>
    </w:tblStylePr>
    <w:tblStylePr w:type="firstCol">
      <w:rPr>
        <w:b/>
        <w:bCs/>
      </w:rPr>
    </w:tblStylePr>
    <w:tblStylePr w:type="lastCol">
      <w:rPr>
        <w:b/>
        <w:bCs/>
      </w:rPr>
    </w:tblStylePr>
    <w:tblStylePr w:type="band1Vert">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tblStylePr w:type="band1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insideH w:val="single" w:sz="8" w:space="0" w:color="EE0000" w:themeColor="accent1"/>
        <w:insideV w:val="single" w:sz="8" w:space="0" w:color="EE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0000" w:themeColor="accent1"/>
          <w:left w:val="single" w:sz="8" w:space="0" w:color="EE0000" w:themeColor="accent1"/>
          <w:bottom w:val="single" w:sz="18" w:space="0" w:color="EE0000" w:themeColor="accent1"/>
          <w:right w:val="single" w:sz="8" w:space="0" w:color="EE0000" w:themeColor="accent1"/>
          <w:insideH w:val="nil"/>
          <w:insideV w:val="single" w:sz="8" w:space="0" w:color="EE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0000" w:themeColor="accent1"/>
          <w:left w:val="single" w:sz="8" w:space="0" w:color="EE0000" w:themeColor="accent1"/>
          <w:bottom w:val="single" w:sz="8" w:space="0" w:color="EE0000" w:themeColor="accent1"/>
          <w:right w:val="single" w:sz="8" w:space="0" w:color="EE0000" w:themeColor="accent1"/>
          <w:insideH w:val="nil"/>
          <w:insideV w:val="single" w:sz="8" w:space="0" w:color="EE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tcPr>
    </w:tblStylePr>
    <w:tblStylePr w:type="band1Vert">
      <w:tblPr/>
      <w:tcPr>
        <w:tcBorders>
          <w:top w:val="single" w:sz="8" w:space="0" w:color="EE0000" w:themeColor="accent1"/>
          <w:left w:val="single" w:sz="8" w:space="0" w:color="EE0000" w:themeColor="accent1"/>
          <w:bottom w:val="single" w:sz="8" w:space="0" w:color="EE0000" w:themeColor="accent1"/>
          <w:right w:val="single" w:sz="8" w:space="0" w:color="EE0000" w:themeColor="accent1"/>
        </w:tcBorders>
        <w:shd w:val="clear" w:color="auto" w:fill="FFBBBB" w:themeFill="accent1" w:themeFillTint="3F"/>
      </w:tcPr>
    </w:tblStylePr>
    <w:tblStylePr w:type="band1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insideV w:val="single" w:sz="8" w:space="0" w:color="EE0000" w:themeColor="accent1"/>
        </w:tcBorders>
        <w:shd w:val="clear" w:color="auto" w:fill="FFBBBB" w:themeFill="accent1" w:themeFillTint="3F"/>
      </w:tcPr>
    </w:tblStylePr>
    <w:tblStylePr w:type="band2Horz">
      <w:tblPr/>
      <w:tcPr>
        <w:tcBorders>
          <w:top w:val="single" w:sz="8" w:space="0" w:color="EE0000" w:themeColor="accent1"/>
          <w:left w:val="single" w:sz="8" w:space="0" w:color="EE0000" w:themeColor="accent1"/>
          <w:bottom w:val="single" w:sz="8" w:space="0" w:color="EE0000" w:themeColor="accent1"/>
          <w:right w:val="single" w:sz="8" w:space="0" w:color="EE0000" w:themeColor="accent1"/>
          <w:insideV w:val="single" w:sz="8" w:space="0" w:color="EE0000"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single" w:sz="8" w:space="0" w:color="FF3333" w:themeColor="accent1" w:themeTint="BF"/>
      </w:tblBorders>
    </w:tblPr>
    <w:tblStylePr w:type="firstRow">
      <w:pPr>
        <w:spacing w:before="0" w:after="0" w:line="240" w:lineRule="auto"/>
      </w:pPr>
      <w:rPr>
        <w:b/>
        <w:bCs/>
        <w:color w:val="FFFFFF" w:themeColor="background1"/>
      </w:rPr>
      <w:tblPr/>
      <w:tcPr>
        <w:tc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nil"/>
          <w:insideV w:val="nil"/>
        </w:tcBorders>
        <w:shd w:val="clear" w:color="auto" w:fill="EE0000" w:themeFill="accent1"/>
      </w:tcPr>
    </w:tblStylePr>
    <w:tblStylePr w:type="lastRow">
      <w:pPr>
        <w:spacing w:before="0" w:after="0" w:line="240" w:lineRule="auto"/>
      </w:pPr>
      <w:rPr>
        <w:b/>
        <w:bCs/>
      </w:rPr>
      <w:tblPr/>
      <w:tcPr>
        <w:tcBorders>
          <w:top w:val="double" w:sz="6"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BBBB" w:themeFill="accent1" w:themeFillTint="3F"/>
      </w:tcPr>
    </w:tblStylePr>
    <w:tblStylePr w:type="band1Horz">
      <w:tblPr/>
      <w:tcPr>
        <w:tcBorders>
          <w:insideH w:val="nil"/>
          <w:insideV w:val="nil"/>
        </w:tcBorders>
        <w:shd w:val="clear" w:color="auto" w:fill="FFBBB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0000" w:themeFill="accent1"/>
      </w:tcPr>
    </w:tblStylePr>
    <w:tblStylePr w:type="lastCol">
      <w:rPr>
        <w:b/>
        <w:bCs/>
        <w:color w:val="FFFFFF" w:themeColor="background1"/>
      </w:rPr>
      <w:tblPr/>
      <w:tcPr>
        <w:tcBorders>
          <w:left w:val="nil"/>
          <w:right w:val="nil"/>
          <w:insideH w:val="nil"/>
          <w:insideV w:val="nil"/>
        </w:tcBorders>
        <w:shd w:val="clear" w:color="auto" w:fill="EE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EE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EE0000" w:themeColor="accent1"/>
        <w:bottom w:val="single" w:sz="8" w:space="0" w:color="EE0000" w:themeColor="accent1"/>
      </w:tblBorders>
    </w:tblPr>
    <w:tblStylePr w:type="firstRow">
      <w:rPr>
        <w:rFonts w:asciiTheme="majorHAnsi" w:eastAsiaTheme="majorEastAsia" w:hAnsiTheme="majorHAnsi" w:cstheme="majorBidi"/>
      </w:rPr>
      <w:tblPr/>
      <w:tcPr>
        <w:tcBorders>
          <w:top w:val="nil"/>
          <w:bottom w:val="single" w:sz="8" w:space="0" w:color="EE0000" w:themeColor="accent1"/>
        </w:tcBorders>
      </w:tcPr>
    </w:tblStylePr>
    <w:tblStylePr w:type="lastRow">
      <w:rPr>
        <w:b/>
        <w:bCs/>
        <w:color w:val="EE0000" w:themeColor="text2"/>
      </w:rPr>
      <w:tblPr/>
      <w:tcPr>
        <w:tcBorders>
          <w:top w:val="single" w:sz="8" w:space="0" w:color="EE0000" w:themeColor="accent1"/>
          <w:bottom w:val="single" w:sz="8" w:space="0" w:color="EE0000" w:themeColor="accent1"/>
        </w:tcBorders>
      </w:tcPr>
    </w:tblStylePr>
    <w:tblStylePr w:type="firstCol">
      <w:rPr>
        <w:b/>
        <w:bCs/>
      </w:rPr>
    </w:tblStylePr>
    <w:tblStylePr w:type="lastCol">
      <w:rPr>
        <w:b/>
        <w:bCs/>
      </w:rPr>
      <w:tblPr/>
      <w:tcPr>
        <w:tcBorders>
          <w:top w:val="single" w:sz="8" w:space="0" w:color="EE0000" w:themeColor="accent1"/>
          <w:bottom w:val="single" w:sz="8" w:space="0" w:color="EE0000" w:themeColor="accent1"/>
        </w:tcBorders>
      </w:tcPr>
    </w:tblStylePr>
    <w:tblStylePr w:type="band1Vert">
      <w:tblPr/>
      <w:tcPr>
        <w:shd w:val="clear" w:color="auto" w:fill="FFBBBB" w:themeFill="accent1" w:themeFillTint="3F"/>
      </w:tcPr>
    </w:tblStylePr>
    <w:tblStylePr w:type="band1Horz">
      <w:tblPr/>
      <w:tcPr>
        <w:shd w:val="clear" w:color="auto" w:fill="FFBBBB"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EE0000"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EE0000"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EE0000"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EE0000"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EE0000"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tblBorders>
    </w:tblPr>
    <w:tblStylePr w:type="firstRow">
      <w:rPr>
        <w:sz w:val="24"/>
        <w:szCs w:val="24"/>
      </w:rPr>
      <w:tblPr/>
      <w:tcPr>
        <w:tcBorders>
          <w:top w:val="nil"/>
          <w:left w:val="nil"/>
          <w:bottom w:val="single" w:sz="24" w:space="0" w:color="EE0000" w:themeColor="accent1"/>
          <w:right w:val="nil"/>
          <w:insideH w:val="nil"/>
          <w:insideV w:val="nil"/>
        </w:tcBorders>
        <w:shd w:val="clear" w:color="auto" w:fill="FFFFFF" w:themeFill="background1"/>
      </w:tcPr>
    </w:tblStylePr>
    <w:tblStylePr w:type="lastRow">
      <w:tblPr/>
      <w:tcPr>
        <w:tcBorders>
          <w:top w:val="single" w:sz="8" w:space="0" w:color="EE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0000" w:themeColor="accent1"/>
          <w:insideH w:val="nil"/>
          <w:insideV w:val="nil"/>
        </w:tcBorders>
        <w:shd w:val="clear" w:color="auto" w:fill="FFFFFF" w:themeFill="background1"/>
      </w:tcPr>
    </w:tblStylePr>
    <w:tblStylePr w:type="lastCol">
      <w:tblPr/>
      <w:tcPr>
        <w:tcBorders>
          <w:top w:val="nil"/>
          <w:left w:val="single" w:sz="8" w:space="0" w:color="EE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BBB" w:themeFill="accent1" w:themeFillTint="3F"/>
      </w:tcPr>
    </w:tblStylePr>
    <w:tblStylePr w:type="band1Horz">
      <w:tblPr/>
      <w:tcPr>
        <w:tcBorders>
          <w:top w:val="nil"/>
          <w:bottom w:val="nil"/>
          <w:insideH w:val="nil"/>
          <w:insideV w:val="nil"/>
        </w:tcBorders>
        <w:shd w:val="clear" w:color="auto" w:fill="FFBB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FF3333" w:themeColor="accent1" w:themeTint="BF"/>
        <w:left w:val="single" w:sz="8" w:space="0" w:color="FF3333" w:themeColor="accent1" w:themeTint="BF"/>
        <w:bottom w:val="single" w:sz="8" w:space="0" w:color="FF3333" w:themeColor="accent1" w:themeTint="BF"/>
        <w:right w:val="single" w:sz="8" w:space="0" w:color="FF3333" w:themeColor="accent1" w:themeTint="BF"/>
        <w:insideH w:val="single" w:sz="8" w:space="0" w:color="FF3333" w:themeColor="accent1" w:themeTint="BF"/>
        <w:insideV w:val="single" w:sz="8" w:space="0" w:color="FF3333" w:themeColor="accent1" w:themeTint="BF"/>
      </w:tblBorders>
    </w:tblPr>
    <w:tcPr>
      <w:shd w:val="clear" w:color="auto" w:fill="FFBBBB" w:themeFill="accent1" w:themeFillTint="3F"/>
    </w:tcPr>
    <w:tblStylePr w:type="firstRow">
      <w:rPr>
        <w:b/>
        <w:bCs/>
      </w:rPr>
    </w:tblStylePr>
    <w:tblStylePr w:type="lastRow">
      <w:rPr>
        <w:b/>
        <w:bCs/>
      </w:rPr>
      <w:tblPr/>
      <w:tcPr>
        <w:tcBorders>
          <w:top w:val="single" w:sz="18" w:space="0" w:color="FF3333" w:themeColor="accent1" w:themeTint="BF"/>
        </w:tcBorders>
      </w:tcPr>
    </w:tblStylePr>
    <w:tblStylePr w:type="firstCol">
      <w:rPr>
        <w:b/>
        <w:bCs/>
      </w:rPr>
    </w:tblStylePr>
    <w:tblStylePr w:type="lastCol">
      <w:rPr>
        <w:b/>
        <w:bCs/>
      </w:rPr>
    </w:tblStylePr>
    <w:tblStylePr w:type="band1Vert">
      <w:tblPr/>
      <w:tcPr>
        <w:shd w:val="clear" w:color="auto" w:fill="FF7777" w:themeFill="accent1" w:themeFillTint="7F"/>
      </w:tcPr>
    </w:tblStylePr>
    <w:tblStylePr w:type="band1Horz">
      <w:tblPr/>
      <w:tcPr>
        <w:shd w:val="clear" w:color="auto" w:fill="FF7777"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0000" w:themeColor="accent1"/>
        <w:left w:val="single" w:sz="8" w:space="0" w:color="EE0000" w:themeColor="accent1"/>
        <w:bottom w:val="single" w:sz="8" w:space="0" w:color="EE0000" w:themeColor="accent1"/>
        <w:right w:val="single" w:sz="8" w:space="0" w:color="EE0000" w:themeColor="accent1"/>
        <w:insideH w:val="single" w:sz="8" w:space="0" w:color="EE0000" w:themeColor="accent1"/>
        <w:insideV w:val="single" w:sz="8" w:space="0" w:color="EE0000" w:themeColor="accent1"/>
      </w:tblBorders>
    </w:tblPr>
    <w:tcPr>
      <w:shd w:val="clear" w:color="auto" w:fill="FFBBBB" w:themeFill="accent1" w:themeFillTint="3F"/>
    </w:tcPr>
    <w:tblStylePr w:type="firstRow">
      <w:rPr>
        <w:b/>
        <w:bCs/>
        <w:color w:val="000000" w:themeColor="text1"/>
      </w:rPr>
      <w:tblPr/>
      <w:tcPr>
        <w:shd w:val="clear" w:color="auto" w:fill="FFE4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8C8" w:themeFill="accent1" w:themeFillTint="33"/>
      </w:tcPr>
    </w:tblStylePr>
    <w:tblStylePr w:type="band1Vert">
      <w:tblPr/>
      <w:tcPr>
        <w:shd w:val="clear" w:color="auto" w:fill="FF7777" w:themeFill="accent1" w:themeFillTint="7F"/>
      </w:tcPr>
    </w:tblStylePr>
    <w:tblStylePr w:type="band1Horz">
      <w:tblPr/>
      <w:tcPr>
        <w:tcBorders>
          <w:insideH w:val="single" w:sz="6" w:space="0" w:color="EE0000" w:themeColor="accent1"/>
          <w:insideV w:val="single" w:sz="6" w:space="0" w:color="EE0000" w:themeColor="accent1"/>
        </w:tcBorders>
        <w:shd w:val="clear" w:color="auto" w:fill="FF777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B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7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777"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EE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2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20000" w:themeFill="accent1" w:themeFillShade="BF"/>
      </w:tcPr>
    </w:tblStylePr>
    <w:tblStylePr w:type="band1Vert">
      <w:tblPr/>
      <w:tcPr>
        <w:tcBorders>
          <w:top w:val="nil"/>
          <w:left w:val="nil"/>
          <w:bottom w:val="nil"/>
          <w:right w:val="nil"/>
          <w:insideH w:val="nil"/>
          <w:insideV w:val="nil"/>
        </w:tcBorders>
        <w:shd w:val="clear" w:color="auto" w:fill="B20000" w:themeFill="accent1" w:themeFillShade="BF"/>
      </w:tcPr>
    </w:tblStylePr>
    <w:tblStylePr w:type="band1Horz">
      <w:tblPr/>
      <w:tcPr>
        <w:tcBorders>
          <w:top w:val="nil"/>
          <w:left w:val="nil"/>
          <w:bottom w:val="nil"/>
          <w:right w:val="nil"/>
          <w:insideH w:val="nil"/>
          <w:insideV w:val="nil"/>
        </w:tcBorders>
        <w:shd w:val="clear" w:color="auto" w:fill="B20000"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EE0000" w:themeColor="accent1"/>
        <w:bottom w:val="single" w:sz="4" w:space="0" w:color="EE0000" w:themeColor="accent1"/>
        <w:right w:val="single" w:sz="4" w:space="0" w:color="EE0000" w:themeColor="accent1"/>
        <w:insideH w:val="single" w:sz="4" w:space="0" w:color="FFFFFF" w:themeColor="background1"/>
        <w:insideV w:val="single" w:sz="4" w:space="0" w:color="FFFFFF" w:themeColor="background1"/>
      </w:tblBorders>
    </w:tblPr>
    <w:tcPr>
      <w:shd w:val="clear" w:color="auto" w:fill="FFE4E4"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0000" w:themeFill="accent1" w:themeFillShade="99"/>
      </w:tcPr>
    </w:tblStylePr>
    <w:tblStylePr w:type="firstCol">
      <w:rPr>
        <w:color w:val="FFFFFF" w:themeColor="background1"/>
      </w:rPr>
      <w:tblPr/>
      <w:tcPr>
        <w:tcBorders>
          <w:top w:val="nil"/>
          <w:left w:val="nil"/>
          <w:bottom w:val="nil"/>
          <w:right w:val="nil"/>
          <w:insideH w:val="single" w:sz="4" w:space="0" w:color="8E0000" w:themeColor="accent1" w:themeShade="99"/>
          <w:insideV w:val="nil"/>
        </w:tcBorders>
        <w:shd w:val="clear" w:color="auto" w:fill="8E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E0000" w:themeFill="accent1" w:themeFillShade="99"/>
      </w:tcPr>
    </w:tblStylePr>
    <w:tblStylePr w:type="band1Vert">
      <w:tblPr/>
      <w:tcPr>
        <w:shd w:val="clear" w:color="auto" w:fill="FF9292" w:themeFill="accent1" w:themeFillTint="66"/>
      </w:tcPr>
    </w:tblStylePr>
    <w:tblStylePr w:type="band1Horz">
      <w:tblPr/>
      <w:tcPr>
        <w:shd w:val="clear" w:color="auto" w:fill="FF777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FFE4E4"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BBB" w:themeFill="accent1" w:themeFillTint="3F"/>
      </w:tcPr>
    </w:tblStylePr>
    <w:tblStylePr w:type="band1Horz">
      <w:tblPr/>
      <w:tcPr>
        <w:shd w:val="clear" w:color="auto" w:fill="FFC8C8"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8C8" w:themeFill="accent1" w:themeFillTint="33"/>
    </w:tcPr>
    <w:tblStylePr w:type="firstRow">
      <w:rPr>
        <w:b/>
        <w:bCs/>
      </w:rPr>
      <w:tblPr/>
      <w:tcPr>
        <w:shd w:val="clear" w:color="auto" w:fill="FF9292" w:themeFill="accent1" w:themeFillTint="66"/>
      </w:tcPr>
    </w:tblStylePr>
    <w:tblStylePr w:type="lastRow">
      <w:rPr>
        <w:b/>
        <w:bCs/>
        <w:color w:val="000000" w:themeColor="text1"/>
      </w:rPr>
      <w:tblPr/>
      <w:tcPr>
        <w:shd w:val="clear" w:color="auto" w:fill="FF9292" w:themeFill="accent1" w:themeFillTint="66"/>
      </w:tcPr>
    </w:tblStylePr>
    <w:tblStylePr w:type="firstCol">
      <w:rPr>
        <w:color w:val="FFFFFF" w:themeColor="background1"/>
      </w:rPr>
      <w:tblPr/>
      <w:tcPr>
        <w:shd w:val="clear" w:color="auto" w:fill="B20000" w:themeFill="accent1" w:themeFillShade="BF"/>
      </w:tcPr>
    </w:tblStylePr>
    <w:tblStylePr w:type="lastCol">
      <w:rPr>
        <w:color w:val="FFFFFF" w:themeColor="background1"/>
      </w:rPr>
      <w:tblPr/>
      <w:tcPr>
        <w:shd w:val="clear" w:color="auto" w:fill="B20000" w:themeFill="accent1" w:themeFillShade="BF"/>
      </w:tcPr>
    </w:tblStylePr>
    <w:tblStylePr w:type="band1Vert">
      <w:tblPr/>
      <w:tcPr>
        <w:shd w:val="clear" w:color="auto" w:fill="FF7777" w:themeFill="accent1" w:themeFillTint="7F"/>
      </w:tcPr>
    </w:tblStylePr>
    <w:tblStylePr w:type="band1Horz">
      <w:tblPr/>
      <w:tcPr>
        <w:shd w:val="clear" w:color="auto" w:fill="FF7777"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20C8F"/>
    <w:rPr>
      <w:color w:val="0000FF" w:themeColor="hyperlink"/>
      <w:u w:val="single"/>
    </w:rPr>
  </w:style>
  <w:style w:type="character" w:styleId="UnresolvedMention">
    <w:name w:val="Unresolved Mention"/>
    <w:basedOn w:val="DefaultParagraphFont"/>
    <w:uiPriority w:val="99"/>
    <w:semiHidden/>
    <w:unhideWhenUsed/>
    <w:rsid w:val="00C20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s%3A%2F%2Fthefista.com%2Fopen-records-request%2F&amp;data=05%7C02%7Ckrista%40thefista.com%7C9bbc75fbd7bf4f649ca308df03bc2ec8%7C9a737f003ed74e2d8a4b98dc3b74a013%7C0%7C0%7C639233778907885931%7CUnknown%7CTWFpbGZsb3d8eyJFbXB0eU1hcGkiOnRydWUsIlYiOiIwLjAuMDAwMCIsIlAiOiJXaW4zMiIsIkFOIjoiTWFpbCIsIldUIjoyfQ%3D%3D%7C0%7C%7C%7C&amp;sdata=yXfldf5aj72j9vJ0dDYp%2FPlFgRdDsy%2BThkJbLi%2FmYnQ%3D&amp;reserve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EE0000"/>
      </a:dk2>
      <a:lt2>
        <a:srgbClr val="EEECE1"/>
      </a:lt2>
      <a:accent1>
        <a:srgbClr val="EE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1466</Words>
  <Characters>8357</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Dr. Ratliff, CEO</cp:lastModifiedBy>
  <cp:revision>2</cp:revision>
  <cp:lastPrinted>2025-11-06T16:33:00Z</cp:lastPrinted>
  <dcterms:created xsi:type="dcterms:W3CDTF">2026-08-28T21:43:00Z</dcterms:created>
  <dcterms:modified xsi:type="dcterms:W3CDTF">2026-08-28T21:43:00Z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5d8696c8-59d7-447a-ae42-750869d13431</vt:lpwstr>
  </property>
  <property fmtid="{D5CDD505-2E9C-101B-9397-08002B2CF9AE}" pid="3" name="MSIP_Label_defa4170-0d19-0005-0004-bc88714345d2_Enabled">
    <vt:lpwstr>true</vt:lpwstr>
  </property>
  <property fmtid="{D5CDD505-2E9C-101B-9397-08002B2CF9AE}" pid="4" name="MSIP_Label_defa4170-0d19-0005-0004-bc88714345d2_SetDate">
    <vt:lpwstr>2025-11-10T14:55:44Z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9a737f00-3ed7-4e2d-8a4b-98dc3b74a013</vt:lpwstr>
  </property>
  <property fmtid="{D5CDD505-2E9C-101B-9397-08002B2CF9AE}" pid="8" name="MSIP_Label_defa4170-0d19-0005-0004-bc88714345d2_ActionId">
    <vt:lpwstr>cefe542e-e5bf-4009-9ca9-b7fe55f9229e</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